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Детская онкология-гематология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29.08.2026, 02:54 МСК · База обновлена: 27.08.2026, 21:20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Девочка 15 лет госпитализирована в хирургический стационар.</w:t>
      </w:r>
    </w:p>
    <w:p>
      <w:pPr>
        <w:pStyle w:val="Heading3"/>
      </w:pPr>
      <w:r>
        <w:t>1.2. Жалобы</w:t>
      </w:r>
    </w:p>
    <w:p>
      <w:pPr>
        <w:spacing w:after="58"/>
      </w:pPr>
      <w:r>
        <w:rPr>
          <w:b w:val="0"/>
          <w:i w:val="0"/>
        </w:rPr>
        <w:t>на боли по задней поверхности левого бедра, иррадиирующие в голень.</w:t>
      </w:r>
    </w:p>
    <w:p>
      <w:pPr>
        <w:pStyle w:val="Heading3"/>
      </w:pPr>
      <w:r>
        <w:t>1.3. Анамнез заболевания</w:t>
      </w:r>
    </w:p>
    <w:p>
      <w:pPr>
        <w:spacing w:after="58"/>
      </w:pPr>
      <w:r>
        <w:rPr>
          <w:b w:val="0"/>
          <w:i w:val="0"/>
        </w:rPr>
        <w:t>Три месяца назад появились боли в задне-латеральной поверхности левого бедра, иррадиирующие в верхнюю треть голени. По месту жительства выполнена рентгенография костей таза и нижних конечностей - без патологии, по данным МРТ протрузия L-4. Получила курс физиотерапии, лечебной физкультуры и массажа с кратковременным положительным эффектом. Месяц назад отмечено усиление болевого синдрома, получила курс НПВС без эффекта.</w:t>
      </w:r>
    </w:p>
    <w:p>
      <w:pPr>
        <w:pStyle w:val="Heading3"/>
      </w:pPr>
      <w:r>
        <w:t>1.4. Анамнез жизни</w:t>
      </w:r>
    </w:p>
    <w:p>
      <w:pPr>
        <w:spacing w:after="58"/>
      </w:pPr>
      <w:r>
        <w:rPr>
          <w:b w:val="0"/>
          <w:i w:val="0"/>
        </w:rPr>
        <w:t>* Ребенок от 1-й беременности, протекавшей без осложнений. От 1-х самостоятельных срочных родов. Вес при рождении 3540 г, длина тела 53 см. Ранее развитие по возрасту. На диспансерном учете не состоит. Травмы и операции отрицает. Вакцинирована по национальному календарю.</w:t>
      </w:r>
    </w:p>
    <w:p>
      <w:pPr>
        <w:spacing w:after="58"/>
      </w:pPr>
      <w:r>
        <w:rPr>
          <w:b w:val="0"/>
          <w:i w:val="0"/>
        </w:rPr>
        <w:t>* Перенесла: ОРВИ, ветряную оспу.</w:t>
      </w:r>
    </w:p>
    <w:p>
      <w:pPr>
        <w:pStyle w:val="Heading3"/>
      </w:pPr>
      <w:r>
        <w:t>1.5. Объективный статус</w:t>
      </w:r>
    </w:p>
    <w:p>
      <w:pPr>
        <w:spacing w:after="58"/>
      </w:pPr>
      <w:r>
        <w:rPr>
          <w:b w:val="0"/>
          <w:i w:val="0"/>
        </w:rPr>
        <w:t>Т – 36,6°С. АД=112/65 мм рт. ст. Пульс 79 уд/мин. ЧДД=18 в мин. Состояние стабильное. Сознание ясное. Кожные покровы бледно-розовые, чистые. Геморрагический синдром не выражен. Костно-мышечная система без видимой патологии. Ограничение активных движений в левом тазобедренном суставе. Видимые слизистые ротовой полости розовые, влажные, чистые. Сердечно-легочная деятельность удовлетворительная. Тошноты, рвоты нет. Живот при пальпации мягкий, безболезненный. Мочеотделение самостоятельное, безболезненное. Моча светло-желтая, прозрачная. Стул регулярный, без патологических примесей.</w:t>
      </w:r>
    </w:p>
    <w:p>
      <w:pPr>
        <w:pStyle w:val="Heading2"/>
      </w:pPr>
      <w:r>
        <w:t>1. План обследования</w:t>
      </w:r>
    </w:p>
    <w:p>
      <w:pPr>
        <w:pStyle w:val="Heading3"/>
        <w:keepNext/>
      </w:pPr>
      <w:r>
        <w:rPr>
          <w:b/>
          <w:color w:val="173C49"/>
        </w:rPr>
        <w:t>Вопрос 1.</w:t>
      </w:r>
    </w:p>
    <w:p>
      <w:pPr>
        <w:keepNext/>
      </w:pPr>
      <w:r>
        <w:rPr>
          <w:b w:val="0"/>
          <w:i w:val="0"/>
        </w:rPr>
        <w:t>К необходимым в данной ситуации лабораторным методам исследования относятся</w:t>
      </w:r>
    </w:p>
    <w:p>
      <w:pPr>
        <w:tabs>
          <w:tab w:pos="490" w:val="left"/>
        </w:tabs>
        <w:spacing w:after="60"/>
        <w:ind w:left="490" w:hanging="490"/>
      </w:pPr>
      <w:r>
        <w:rPr>
          <w:b/>
        </w:rPr>
        <w:t>1.</w:t>
      </w:r>
      <w:r>
        <w:tab/>
      </w:r>
      <w:r>
        <w:rPr>
          <w:b w:val="0"/>
          <w:i w:val="0"/>
        </w:rPr>
        <w:t>бактериологический посев кала</w:t>
      </w:r>
    </w:p>
    <w:p>
      <w:pPr>
        <w:tabs>
          <w:tab w:pos="490" w:val="left"/>
        </w:tabs>
        <w:spacing w:after="60"/>
        <w:ind w:left="490" w:hanging="490"/>
      </w:pPr>
      <w:r>
        <w:rPr>
          <w:b/>
        </w:rPr>
        <w:t>2.</w:t>
      </w:r>
      <w:r>
        <w:tab/>
      </w:r>
      <w:r>
        <w:rPr>
          <w:b w:val="0"/>
          <w:i w:val="0"/>
        </w:rPr>
        <w:t>коагулограмма</w:t>
      </w:r>
    </w:p>
    <w:p>
      <w:pPr>
        <w:tabs>
          <w:tab w:pos="490" w:val="left"/>
        </w:tabs>
        <w:spacing w:after="60"/>
        <w:ind w:left="490" w:hanging="490"/>
      </w:pPr>
      <w:r>
        <w:rPr>
          <w:b/>
        </w:rPr>
        <w:t>3.</w:t>
      </w:r>
      <w:r>
        <w:tab/>
      </w:r>
      <w:r>
        <w:rPr>
          <w:b w:val="0"/>
          <w:i w:val="0"/>
        </w:rPr>
        <w:t>исследование уровней АФП и НСЕ в крови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 развернутый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ind w:left="288"/>
      </w:pPr>
      <w:r>
        <w:rPr>
          <w:b/>
          <w:color w:val="173C49"/>
        </w:rPr>
        <w:t>Правильные ответы:</w:t>
      </w:r>
      <w:r>
        <w:br/>
      </w:r>
      <w:r>
        <w:rPr>
          <w:b/>
          <w:i w:val="0"/>
        </w:rPr>
        <w:t>4 - общий анализ крови развернутый</w:t>
      </w:r>
      <w:r>
        <w:br/>
      </w:r>
      <w:r>
        <w:rPr>
          <w:b/>
          <w:i w:val="0"/>
        </w:rPr>
        <w:t>5 - биохимический анализ крови</w:t>
      </w:r>
    </w:p>
    <w:p>
      <w:pPr>
        <w:spacing w:after="58"/>
      </w:pPr>
      <w:r>
        <w:rPr>
          <w:b w:val="0"/>
          <w:i w:val="0"/>
        </w:rPr>
        <w:t>Всем пациентам с подозрением на ЗНО кости или установленным диагнозом ЗНО кости при первичном приеме, а также при каждом приеме у врача-детского онколога, перед каждым последующим курсом химиотерапии, при оценке ответа на проведенную терапию в процессе лечения и в динамическом наблюдении рекомендуется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выполнение следующих лабораторных исследований: общий (клинический) анализ крови развернутый;</w:t>
      </w:r>
    </w:p>
    <w:p>
      <w:pPr>
        <w:spacing w:after="58"/>
      </w:pPr>
      <w:r>
        <w:rPr>
          <w:b w:val="0"/>
          <w:i w:val="0"/>
        </w:rPr>
        <w:t>При остеосаркоме могут наблюдаться в клиническом анализе крови лейкоцитоз, повышение СОЭ.</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22">
        <w:r>
          <w:rPr>
            <w:color w:val="173C49"/>
            <w:u w:val="single"/>
          </w:rPr>
          <w:t xml:space="preserve">(1)</w:t>
        </w:r>
      </w:hyperlink>
    </w:p>
    <w:p>
      <w:pPr>
        <w:spacing w:after="58"/>
      </w:pPr>
      <w:r>
        <w:rPr>
          <w:b w:val="0"/>
          <w:i w:val="0"/>
        </w:rPr>
        <w:t>Всем пациентам с подозрением на ЗНО кости или установленным диагнозом ЗНО кости при первичном приеме, а также при каждом приеме у врача-детского онколога, перед каждым последующим курсом химиотерапии, при оценке ответа на проведенную терапию в процессе лечения и в динамическом наблюдении рекомендуется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выполнение следующих лабораторных исследований: анализ крови биохимический общетерапевтический с включением следующих параметров: определение активности лактатдегидрогеназы в крови (ЛДГ), определение активности аланинаминорансферазы в крови (АЛТ), определение активности аспартатаминотрансферазы в крови (АСТ), исследование уровня общего билирубина в крови, определение активности щелочной фосфатазы в крови, исследование уровня общего белка в крови, исследование уровня альбумина в крови, исследование уровня креатинина в крови, исследование уровня мочевины в крови, исследование уровня мочевой кислоты в крови, исследование уровня калия в крови, исследование уровня натрия в крови, исследование уровня хлоридов в крови, исследование уровня кальция в крови (другие параметры биохимического анализа крови могут быть включены в исследование на усмотрение врача);</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23">
        <w:r>
          <w:rPr>
            <w:color w:val="173C49"/>
            <w:u w:val="single"/>
          </w:rPr>
          <w:t xml:space="preserve">(1)</w:t>
        </w:r>
      </w:hyperlink>
    </w:p>
    <w:p>
      <w:pPr>
        <w:pStyle w:val="Heading3"/>
        <w:keepNext/>
      </w:pPr>
      <w:r>
        <w:rPr>
          <w:b/>
          <w:color w:val="173C49"/>
        </w:rPr>
        <w:t>Вопрос 2.</w:t>
      </w:r>
    </w:p>
    <w:p>
      <w:pPr>
        <w:keepNext/>
      </w:pPr>
      <w:r>
        <w:rPr>
          <w:b w:val="0"/>
          <w:i w:val="0"/>
        </w:rPr>
        <w:t>К необходимым для постановки основного диагноза инструментальным методам исследования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сцинтиграфия костей скелета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магнитно-резонансная томография (МРТ) пораженного участка со смежными суставами</w:t>
      </w:r>
    </w:p>
    <w:p>
      <w:pPr>
        <w:tabs>
          <w:tab w:pos="490" w:val="left"/>
        </w:tabs>
        <w:spacing w:after="60"/>
        <w:ind w:left="490" w:hanging="490"/>
      </w:pPr>
      <w:r>
        <w:rPr>
          <w:b/>
        </w:rPr>
        <w:t>3.</w:t>
      </w:r>
      <w:r>
        <w:tab/>
      </w:r>
      <w:r>
        <w:rPr>
          <w:b w:val="0"/>
          <w:i w:val="0"/>
        </w:rPr>
        <w:t>электрокардиография в покое</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компьютерная томография (КТ) пораженного отдела скелета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0"/>
                    <a:stretch>
                      <a:fillRect/>
                    </a:stretch>
                  </pic:blipFill>
                  <pic:spPr>
                    <a:xfrm>
                      <a:off x="0" y="0"/>
                      <a:ext cx="214884" cy="214884"/>
                    </a:xfrm>
                    <a:prstGeom prst="rect"/>
                  </pic:spPr>
                </pic:pic>
              </a:graphicData>
            </a:graphic>
          </wp:inline>
        </w:drawing>
      </w:r>
      <w:r>
        <w:tab/>
      </w:r>
      <w:r>
        <w:rPr>
          <w:b w:val="0"/>
          <w:i w:val="0"/>
        </w:rPr>
        <w:t>КТ органов грудной полости с в/в контрастированием</w:t>
      </w:r>
    </w:p>
    <w:p>
      <w:pPr>
        <w:tabs>
          <w:tab w:pos="490" w:val="left"/>
        </w:tabs>
        <w:spacing w:after="60"/>
        <w:ind w:left="490" w:hanging="490"/>
      </w:pPr>
      <w:r>
        <w:rPr>
          <w:b/>
        </w:rPr>
        <w:t>6.</w:t>
      </w:r>
      <w:r>
        <w:tab/>
      </w:r>
      <w:r>
        <w:rPr>
          <w:b w:val="0"/>
          <w:i w:val="0"/>
        </w:rPr>
        <w:t>УЗИ органов брюшной полости и мочевыделительной системы</w:t>
      </w:r>
    </w:p>
    <w:p>
      <w:pPr>
        <w:ind w:left="288"/>
      </w:pPr>
      <w:r>
        <w:rPr>
          <w:b/>
          <w:color w:val="173C49"/>
        </w:rPr>
        <w:t>Правильные ответы:</w:t>
      </w:r>
      <w:r>
        <w:br/>
      </w:r>
      <w:r>
        <w:rPr>
          <w:b/>
          <w:i w:val="0"/>
        </w:rPr>
        <w:t>1 - сцинтиграфия костей скелета</w:t>
      </w:r>
      <w:r>
        <w:br/>
      </w:r>
      <w:r>
        <w:rPr>
          <w:b/>
          <w:i w:val="0"/>
        </w:rPr>
        <w:t>2 - магнитно-резонансная томография (МРТ) пораженного участка со смежными суставами</w:t>
      </w:r>
      <w:r>
        <w:br/>
      </w:r>
      <w:r>
        <w:rPr>
          <w:b/>
          <w:i w:val="0"/>
        </w:rPr>
        <w:t>4 - компьютерная томография (КТ) пораженного отдела скелета</w:t>
      </w:r>
      <w:r>
        <w:br/>
      </w:r>
      <w:r>
        <w:rPr>
          <w:b/>
          <w:i w:val="0"/>
        </w:rPr>
        <w:t>5 - КТ органов грудной полости с в/в контрастированием</w:t>
      </w:r>
    </w:p>
    <w:p>
      <w:pPr>
        <w:spacing w:after="58"/>
      </w:pPr>
      <w:r>
        <w:rPr>
          <w:b w:val="0"/>
          <w:i w:val="0"/>
        </w:rPr>
        <w:t>Всем пациентам с подозрением на ЗНО кости или выявленным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при отсутствии возможности выполнить ПЭТ/КТ, а в некоторых случаях и в дополнение к ПЭТ/КТ рекомендовано выполнение сцинтиграфии костей скелета с соединениями технеция (99mTc) в режиме все тело с дополнительным выполнением протокола однофотонной эмиссионной компьютерной томографии, совмещенной с компьютерной томографией костей всего тела (ОФЭКТ/КТ) при наличии одиночного или нескольких сомнительных очагов гиперфиксации по результатам планарных изображений.</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26">
        <w:r>
          <w:rPr>
            <w:color w:val="173C49"/>
            <w:u w:val="single"/>
          </w:rPr>
          <w:t xml:space="preserve">(1)</w:t>
        </w:r>
      </w:hyperlink>
    </w:p>
    <w:p>
      <w:pPr>
        <w:spacing w:after="58"/>
      </w:pPr>
      <w:r>
        <w:rPr>
          <w:b w:val="0"/>
          <w:i w:val="0"/>
        </w:rPr>
        <w:t>Всем пациентам с подозрением на ЗНО кости или верифицированным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рекомендовано выполнение магнитно-резонансной томографии (МРТ) пораженной области с контрастным усилением</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27">
        <w:r>
          <w:rPr>
            <w:color w:val="173C49"/>
            <w:u w:val="single"/>
          </w:rPr>
          <w:t xml:space="preserve">(1)</w:t>
        </w:r>
      </w:hyperlink>
    </w:p>
    <w:p>
      <w:pPr>
        <w:spacing w:after="58"/>
      </w:pPr>
      <w:r>
        <w:rPr>
          <w:b w:val="0"/>
          <w:i w:val="0"/>
        </w:rPr>
        <w:t>Исследование КТ первичного очага может предоставить дополнительную информацию о характере образования (наличия кальцинации, периостита и деструкции кортикального слоя кости).</w:t>
      </w:r>
    </w:p>
    <w:p>
      <w:pPr>
        <w:spacing w:after="58"/>
      </w:pPr>
      <w:r>
        <w:rPr>
          <w:b w:val="0"/>
          <w:i w:val="0"/>
        </w:rPr>
        <w:t>КТ и МРТ исследования не исключают и не заменяют друг друга. Для точной оценки костной патологии, оценки распространенности опухоли и постановки рентгенологического дифференциально-диагностического ряда оптимальным является комплексное обследование пациента с помощью сочетания МРТ и КТ исследований.</w:t>
      </w:r>
    </w:p>
    <w:p>
      <w:pPr>
        <w:spacing w:after="58"/>
      </w:pPr>
      <w:r>
        <w:rPr>
          <w:b w:val="0"/>
          <w:i w:val="0"/>
        </w:rPr>
        <w:t>Исследование КТ является неотъемлемой частью предоперационного планирования, планирования реконструктивного оперативного вмешательства, при возможности его выполнения, а также изготовления индивидуального импланта.</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28">
        <w:r>
          <w:rPr>
            <w:color w:val="173C49"/>
            <w:u w:val="single"/>
          </w:rPr>
          <w:t xml:space="preserve">(1)</w:t>
        </w:r>
      </w:hyperlink>
    </w:p>
    <w:p>
      <w:pPr>
        <w:spacing w:after="58"/>
      </w:pPr>
      <w:r>
        <w:rPr>
          <w:b w:val="0"/>
          <w:i w:val="0"/>
        </w:rPr>
        <w:t>Всем пациентам с подозрением на ЗНО кости или выявленным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рекомендовано выполнение КТ органов грудной полости с внутривенным болюсным контрастированием для исключения метастатического поражения легких</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29">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Предполагаемым основным диагнозом у данного пациента является</w:t>
      </w:r>
    </w:p>
    <w:p>
      <w:pPr>
        <w:tabs>
          <w:tab w:pos="490" w:val="left"/>
        </w:tabs>
        <w:spacing w:after="60"/>
        <w:ind w:left="490" w:hanging="490"/>
      </w:pPr>
      <w:r>
        <w:rPr>
          <w:b/>
        </w:rPr>
        <w:t>1.</w:t>
      </w:r>
      <w:r>
        <w:tab/>
      </w:r>
      <w:r>
        <w:rPr>
          <w:b w:val="0"/>
          <w:i w:val="0"/>
        </w:rPr>
        <w:t>остеомиелит левой подвздошной кости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саркома Юинга левой подвздошной кости</w:t>
      </w:r>
    </w:p>
    <w:p>
      <w:pPr>
        <w:tabs>
          <w:tab w:pos="490" w:val="left"/>
        </w:tabs>
        <w:spacing w:after="60"/>
        <w:ind w:left="490" w:hanging="490"/>
      </w:pPr>
      <w:r>
        <w:rPr>
          <w:b/>
        </w:rPr>
        <w:t>3.</w:t>
      </w:r>
      <w:r>
        <w:tab/>
      </w:r>
      <w:r>
        <w:rPr>
          <w:b w:val="0"/>
          <w:i w:val="0"/>
        </w:rPr>
        <w:t>лимфома мягких тканей области таза</w:t>
      </w:r>
    </w:p>
    <w:p>
      <w:pPr>
        <w:tabs>
          <w:tab w:pos="490" w:val="left"/>
        </w:tabs>
        <w:spacing w:after="60"/>
        <w:ind w:left="490" w:hanging="490"/>
      </w:pPr>
      <w:r>
        <w:rPr>
          <w:b/>
        </w:rPr>
        <w:t>4.</w:t>
      </w:r>
      <w:r>
        <w:tab/>
      </w:r>
      <w:r>
        <w:rPr>
          <w:b w:val="0"/>
          <w:i w:val="0"/>
        </w:rPr>
        <w:t>мягкотканная саркома подвздошной области</w:t>
      </w:r>
    </w:p>
    <w:p>
      <w:pPr>
        <w:ind w:left="288"/>
      </w:pPr>
      <w:r>
        <w:rPr>
          <w:b/>
          <w:color w:val="173C49"/>
        </w:rPr>
        <w:t>Правильный ответ:</w:t>
      </w:r>
      <w:r>
        <w:br/>
      </w:r>
      <w:r>
        <w:rPr>
          <w:b/>
          <w:i w:val="0"/>
        </w:rPr>
        <w:t>2 - саркома Юинга левой подвздошной кости</w:t>
      </w:r>
    </w:p>
    <w:p>
      <w:pPr>
        <w:spacing w:after="58"/>
      </w:pPr>
      <w:r>
        <w:rPr>
          <w:b w:val="0"/>
          <w:i w:val="0"/>
        </w:rPr>
        <w:t>Диагноз может быть предположен с учетом возраста пациента, клинической и рентгенологической картины.</w:t>
      </w:r>
    </w:p>
    <w:p>
      <w:pPr>
        <w:spacing w:after="58"/>
      </w:pPr>
      <w:r>
        <w:rPr>
          <w:b w:val="0"/>
          <w:i w:val="0"/>
        </w:rPr>
        <w:t>Клиническая картина при злокачественных новообразованиях костей обусловлена анатомической локализацией первичного очага и его размерами, степенью инвазии и компрессии прилежащих органов и тканей, а также анатомической локализацией метастазов. В исключительно редких случаях, заболевание протекает бессимптомно и может являться случайной находкой при проведении диспансерного наблюдения или обследования по поводу другого заболевания.</w:t>
      </w:r>
    </w:p>
    <w:p>
      <w:pPr>
        <w:spacing w:after="58"/>
      </w:pPr>
      <w:r>
        <w:rPr>
          <w:b w:val="0"/>
          <w:i w:val="0"/>
        </w:rPr>
        <w:t>Как правило, ведущим симптомом является боль в проекции объемного образования, к которой в динамике может присоединиться припухлость, нарушение движения в прилежащем суставе, если образование расположено в костях конечностей. В 10-15% случаев у пациентов встречается патологический перелом на уровне объемного образования.</w:t>
      </w:r>
    </w:p>
    <w:p>
      <w:pPr>
        <w:spacing w:after="58"/>
      </w:pPr>
      <w:r>
        <w:rPr>
          <w:b w:val="0"/>
          <w:i w:val="0"/>
        </w:rPr>
        <w:t>Критерии установления диагноза/состояния: диагноз устанавливается на основании патогномоничных данных:</w:t>
      </w:r>
    </w:p>
    <w:p>
      <w:pPr>
        <w:spacing w:after="58"/>
      </w:pPr>
      <w:r>
        <w:rPr>
          <w:b w:val="0"/>
          <w:i w:val="0"/>
        </w:rPr>
        <w:t xml:space="preserve">. анамнестические данные; </w:t>
        <w:br/>
        <w:t xml:space="preserve">. физикальное обследование; </w:t>
        <w:br/>
        <w:t xml:space="preserve">. лабораторные исследования; </w:t>
        <w:br/>
        <w:t xml:space="preserve">. инструментальное обследование; </w:t>
        <w:br/>
        <w:t xml:space="preserve">. гистологическое исследование; </w:t>
        <w:br/>
        <w:t>. цитогенетическое исследование.</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0">
        <w:r>
          <w:rPr>
            <w:color w:val="173C49"/>
            <w:u w:val="single"/>
          </w:rPr>
          <w:t xml:space="preserve">(1)</w:t>
        </w:r>
      </w:hyperlink>
    </w:p>
    <w:p>
      <w:pPr>
        <w:spacing w:after="58"/>
      </w:pPr>
      <w:hyperlink r:id="rId31">
        <w:r>
          <w:rPr>
            <w:color w:val="173C49"/>
            <w:u w:val="single"/>
          </w:rPr>
          <w:t xml:space="preserve">(2)</w:t>
        </w:r>
      </w:hyperlink>
    </w:p>
    <w:p>
      <w:pPr>
        <w:pStyle w:val="Heading2"/>
      </w:pPr>
      <w:r>
        <w:t>3. Лечение</w:t>
      </w:r>
    </w:p>
    <w:p>
      <w:pPr>
        <w:pStyle w:val="Heading3"/>
        <w:keepNext/>
      </w:pPr>
      <w:r>
        <w:rPr>
          <w:b/>
          <w:color w:val="173C49"/>
        </w:rPr>
        <w:t>Вопрос 4.</w:t>
      </w:r>
    </w:p>
    <w:p>
      <w:pPr>
        <w:keepNext/>
      </w:pPr>
      <w:r>
        <w:rPr>
          <w:b w:val="0"/>
          <w:i w:val="0"/>
        </w:rPr>
        <w:t>Тактикой дальнейшего ведения пациента при наличии у него саркомы Юинга будет проведение</w:t>
      </w:r>
    </w:p>
    <w:p>
      <w:pPr>
        <w:tabs>
          <w:tab w:pos="490" w:val="left"/>
        </w:tabs>
        <w:spacing w:after="60"/>
        <w:ind w:left="490" w:hanging="490"/>
      </w:pPr>
      <w:r>
        <w:rPr>
          <w:b/>
        </w:rPr>
        <w:t>1.</w:t>
      </w:r>
      <w:r>
        <w:tab/>
      </w:r>
      <w:r>
        <w:rPr>
          <w:b w:val="0"/>
          <w:i w:val="0"/>
        </w:rPr>
        <w:t>полихимиотерапии и хирургического лечения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полихимиотерапии, лучевой терапии, хирургического лечения</w:t>
      </w:r>
    </w:p>
    <w:p>
      <w:pPr>
        <w:tabs>
          <w:tab w:pos="490" w:val="left"/>
        </w:tabs>
        <w:spacing w:after="60"/>
        <w:ind w:left="490" w:hanging="490"/>
      </w:pPr>
      <w:r>
        <w:rPr>
          <w:b/>
        </w:rPr>
        <w:t>3.</w:t>
      </w:r>
      <w:r>
        <w:tab/>
      </w:r>
      <w:r>
        <w:rPr>
          <w:b w:val="0"/>
          <w:i w:val="0"/>
        </w:rPr>
        <w:t>лучевой терапии и полихимиотерапии</w:t>
      </w:r>
    </w:p>
    <w:p>
      <w:pPr>
        <w:tabs>
          <w:tab w:pos="490" w:val="left"/>
        </w:tabs>
        <w:spacing w:after="60"/>
        <w:ind w:left="490" w:hanging="490"/>
      </w:pPr>
      <w:r>
        <w:rPr>
          <w:b/>
        </w:rPr>
        <w:t>4.</w:t>
      </w:r>
      <w:r>
        <w:tab/>
      </w:r>
      <w:r>
        <w:rPr>
          <w:b w:val="0"/>
          <w:i w:val="0"/>
        </w:rPr>
        <w:t>хирургического лечения и лучевой терапии</w:t>
      </w:r>
    </w:p>
    <w:p>
      <w:pPr>
        <w:ind w:left="288"/>
      </w:pPr>
      <w:r>
        <w:rPr>
          <w:b/>
          <w:color w:val="173C49"/>
        </w:rPr>
        <w:t>Правильный ответ:</w:t>
      </w:r>
      <w:r>
        <w:br/>
      </w:r>
      <w:r>
        <w:rPr>
          <w:b/>
          <w:i w:val="0"/>
        </w:rPr>
        <w:t>2 - полихимиотерапии, лучевой терапии, хирургического лечения</w:t>
      </w:r>
    </w:p>
    <w:p>
      <w:pPr>
        <w:spacing w:after="58"/>
      </w:pPr>
      <w:r>
        <w:rPr>
          <w:b w:val="0"/>
          <w:i w:val="0"/>
        </w:rPr>
        <w:t>Всем пациентам с cаркомой Юинга и другими недифференцированными мелкокруглоклеточными саркомами костей рекомендовано комплексное лечение, которое включает в себя неоадъювантную (предоперационную) полихимиотерапию, оперативное вмешательство и адъювантную (послеоперационную) ПХТ, а также лучевую терапию.</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2">
        <w:r>
          <w:rPr>
            <w:color w:val="173C49"/>
            <w:u w:val="single"/>
          </w:rPr>
          <w:t xml:space="preserve">(1)</w:t>
        </w:r>
      </w:hyperlink>
    </w:p>
    <w:p>
      <w:pPr>
        <w:pStyle w:val="Heading3"/>
        <w:keepNext/>
      </w:pPr>
      <w:r>
        <w:rPr>
          <w:b/>
          <w:color w:val="173C49"/>
        </w:rPr>
        <w:t>Вопрос 5.</w:t>
      </w:r>
    </w:p>
    <w:p>
      <w:pPr>
        <w:keepNext/>
      </w:pPr>
      <w:r>
        <w:rPr>
          <w:b w:val="0"/>
          <w:i w:val="0"/>
        </w:rPr>
        <w:t>Для морфологического подтверждения диагноза данному ребенку необходимо провести</w:t>
      </w:r>
    </w:p>
    <w:p>
      <w:pPr>
        <w:tabs>
          <w:tab w:pos="490" w:val="left"/>
        </w:tabs>
        <w:spacing w:after="60"/>
        <w:ind w:left="490" w:hanging="490"/>
      </w:pPr>
      <w:r>
        <w:rPr>
          <w:b/>
        </w:rPr>
        <w:t>1.</w:t>
      </w:r>
      <w:r>
        <w:tab/>
      </w:r>
      <w:r>
        <w:rPr>
          <w:b w:val="0"/>
          <w:i w:val="0"/>
        </w:rPr>
        <w:t>аспирационную биопсию костного мозга из четырех точек с цитологическим исследованием костного мозга</w:t>
      </w:r>
    </w:p>
    <w:p>
      <w:pPr>
        <w:tabs>
          <w:tab w:pos="490" w:val="left"/>
        </w:tabs>
        <w:spacing w:after="60"/>
        <w:ind w:left="490" w:hanging="490"/>
      </w:pPr>
      <w:r>
        <w:rPr>
          <w:b/>
        </w:rPr>
        <w:t>2.</w:t>
      </w:r>
      <w:r>
        <w:tab/>
      </w:r>
      <w:r>
        <w:rPr>
          <w:b w:val="0"/>
          <w:i w:val="0"/>
        </w:rPr>
        <w:t xml:space="preserve">сцинтиграфию с </w:t>
      </w:r>
      <w:r>
        <w:rPr>
          <w:b w:val="0"/>
          <w:i w:val="0"/>
          <w:vertAlign w:val="superscript"/>
        </w:rPr>
        <w:t>123</w:t>
      </w:r>
      <w:r>
        <w:rPr>
          <w:b w:val="0"/>
          <w:i w:val="0"/>
        </w:rPr>
        <w:t>I- МЙБГ</w:t>
      </w:r>
    </w:p>
    <w:p>
      <w:pPr>
        <w:tabs>
          <w:tab w:pos="490" w:val="left"/>
        </w:tabs>
        <w:spacing w:after="60"/>
        <w:ind w:left="490" w:hanging="490"/>
      </w:pPr>
      <w:r>
        <w:rPr>
          <w:b/>
        </w:rPr>
        <w:t>3.</w:t>
      </w:r>
      <w:r>
        <w:tab/>
      </w:r>
      <w:r>
        <w:rPr>
          <w:b w:val="0"/>
          <w:i w:val="0"/>
        </w:rPr>
        <w:t>люмбальную пункцию для цитологического исследования ликвора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биопсию опухоли для определения её гистогенеза</w:t>
      </w:r>
    </w:p>
    <w:p>
      <w:pPr>
        <w:ind w:left="288"/>
      </w:pPr>
      <w:r>
        <w:rPr>
          <w:b/>
          <w:color w:val="173C49"/>
        </w:rPr>
        <w:t>Правильный ответ:</w:t>
      </w:r>
      <w:r>
        <w:br/>
      </w:r>
      <w:r>
        <w:rPr>
          <w:b/>
          <w:i w:val="0"/>
        </w:rPr>
        <w:t>4 - биопсию опухоли для определения её гистогенеза</w:t>
      </w:r>
    </w:p>
    <w:p>
      <w:pPr>
        <w:spacing w:after="58"/>
      </w:pPr>
      <w:r>
        <w:rPr>
          <w:b w:val="0"/>
          <w:i w:val="0"/>
        </w:rPr>
        <w:t>Всем пациентам с подозрением на ЗНО кости по результатам клинического осмотра и инструментальных методов исследования рекомендована биопсия кости (объемного образования) с последующим патолого-анатомическим исследованием биопсийного (операционного) материала костной ткани, в том числе с применением иммуногистохимических и, при необходимости, цитогенетических методов для верификации диагноза.</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3">
        <w:r>
          <w:rPr>
            <w:color w:val="173C49"/>
            <w:u w:val="single"/>
          </w:rPr>
          <w:t xml:space="preserve">(1)</w:t>
        </w:r>
      </w:hyperlink>
    </w:p>
    <w:p>
      <w:pPr>
        <w:pStyle w:val="Heading3"/>
        <w:keepNext/>
      </w:pPr>
      <w:r>
        <w:rPr>
          <w:b/>
          <w:color w:val="173C49"/>
        </w:rPr>
        <w:t>Вопрос 6.</w:t>
      </w:r>
    </w:p>
    <w:p>
      <w:pPr>
        <w:keepNext/>
      </w:pPr>
      <w:r>
        <w:rPr>
          <w:b w:val="0"/>
          <w:i w:val="0"/>
        </w:rPr>
        <w:t>Стандартом при выполнении биопсии опухоли кости является</w:t>
      </w:r>
    </w:p>
    <w:p>
      <w:pPr>
        <w:tabs>
          <w:tab w:pos="490" w:val="left"/>
        </w:tabs>
        <w:spacing w:after="60"/>
        <w:ind w:left="490" w:hanging="490"/>
      </w:pPr>
      <w:r>
        <w:rPr>
          <w:b/>
        </w:rPr>
        <w:t>1.</w:t>
      </w:r>
      <w:r>
        <w:tab/>
      </w:r>
      <w:r>
        <w:rPr>
          <w:b w:val="0"/>
          <w:i w:val="0"/>
        </w:rPr>
        <w:t>костное окно увеличивается в поперечном направлении</w:t>
      </w:r>
    </w:p>
    <w:p>
      <w:pPr>
        <w:tabs>
          <w:tab w:pos="490" w:val="left"/>
        </w:tabs>
        <w:spacing w:after="60"/>
        <w:ind w:left="490" w:hanging="490"/>
      </w:pPr>
      <w:r>
        <w:rPr>
          <w:b/>
        </w:rPr>
        <w:t>2.</w:t>
      </w:r>
      <w:r>
        <w:tab/>
      </w:r>
      <w:r>
        <w:rPr>
          <w:b w:val="0"/>
          <w:i w:val="0"/>
        </w:rPr>
        <w:t>проведение биопсии под контролем УЗИ</w:t>
      </w:r>
    </w:p>
    <w:p>
      <w:pPr>
        <w:tabs>
          <w:tab w:pos="490" w:val="left"/>
        </w:tabs>
        <w:spacing w:after="60"/>
        <w:ind w:left="490" w:hanging="490"/>
      </w:pPr>
      <w:r>
        <w:rPr>
          <w:b/>
        </w:rPr>
        <w:t>3.</w:t>
      </w:r>
      <w:r>
        <w:tab/>
      </w:r>
      <w:r>
        <w:rPr>
          <w:b w:val="0"/>
          <w:i w:val="0"/>
        </w:rPr>
        <w:t>проведение биопсии хирургом или травматологом под местной анестезией</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необходимость исключить работу инструментом за пределами биопсийного тракта</w:t>
      </w:r>
    </w:p>
    <w:p>
      <w:pPr>
        <w:ind w:left="288"/>
      </w:pPr>
      <w:r>
        <w:rPr>
          <w:b/>
          <w:color w:val="173C49"/>
        </w:rPr>
        <w:t>Правильный ответ:</w:t>
      </w:r>
      <w:r>
        <w:br/>
      </w:r>
      <w:r>
        <w:rPr>
          <w:b/>
          <w:i w:val="0"/>
        </w:rPr>
        <w:t>4 - необходимость исключить работу инструментом за пределами биопсийного тракта</w:t>
      </w:r>
    </w:p>
    <w:p>
      <w:pPr>
        <w:spacing w:after="58"/>
      </w:pPr>
      <w:r>
        <w:rPr>
          <w:b w:val="0"/>
          <w:i w:val="0"/>
        </w:rPr>
        <w:t>Cтандарты выполнения биопсии:</w:t>
      </w:r>
    </w:p>
    <w:p>
      <w:pPr>
        <w:spacing w:after="58"/>
      </w:pPr>
      <w:r>
        <w:rPr>
          <w:b w:val="0"/>
          <w:i w:val="0"/>
        </w:rPr>
        <w:t>Планирование места биопсии, по возможности, должно проводиться на междисциплинарном совещании при участии врача-онколога (детского онколога), врача-травматолога-ортопеда, врача-патологоанатома и врача-радиотерапевта или врача-радиолога. Это необходимо для выбора наиболее репрезентативного очага .</w:t>
      </w:r>
    </w:p>
    <w:p>
      <w:pPr>
        <w:spacing w:after="58"/>
      </w:pPr>
      <w:r>
        <w:rPr>
          <w:b w:val="0"/>
          <w:i w:val="0"/>
        </w:rPr>
        <w:t>Биопсия должна выполняться в специализированном онкологическом стационаре, при возможности, в операционной, оснащенной С-дугой (ЭОП), под общей анестезией. Допустимо проведение биопсии в региональном центре – областной больнице (медучреждение 2-го уровня) по согласованию с федеральным центром (локализация доступа, объем материала, вид биопсии), где в дальнейшем будет проводиться этап локального контроля – удаление опухоли.</w:t>
      </w:r>
    </w:p>
    <w:p>
      <w:pPr>
        <w:spacing w:after="58"/>
      </w:pPr>
      <w:r>
        <w:rPr>
          <w:b w:val="0"/>
          <w:i w:val="0"/>
        </w:rPr>
        <w:t>При выполнении биопсии должен учитываться будущий операционный доступ (операция по удалению опухоли), на конечностях разрез должен быть продольный, при постановке дренажной системы типа Редон его точка выхода должна быть на одной линии с разрезом. По возможности, разрез должен быть не более 4-5 см.</w:t>
      </w:r>
    </w:p>
    <w:p>
      <w:pPr>
        <w:spacing w:after="58"/>
      </w:pPr>
      <w:r>
        <w:rPr>
          <w:b w:val="0"/>
          <w:i w:val="0"/>
        </w:rPr>
        <w:t>Техника проведения должна быть максимально аккуратной и щадящей. Необходимо исключить работу инструментом за пределами биопсийного тракта, в целях предотвращения контаминации опухолевыми клетками окружающих тканей. Не допускать повреждения анатомических границ между компартментами.</w:t>
      </w:r>
    </w:p>
    <w:p>
      <w:pPr>
        <w:spacing w:after="58"/>
      </w:pPr>
      <w:r>
        <w:rPr>
          <w:b w:val="0"/>
          <w:i w:val="0"/>
        </w:rPr>
        <w:t>Забор материала лучше делать скальпелем или сосудистыми ножницами, чтобы избежать его повреждения.</w:t>
      </w:r>
    </w:p>
    <w:p>
      <w:pPr>
        <w:spacing w:after="58"/>
      </w:pPr>
      <w:r>
        <w:rPr>
          <w:b w:val="0"/>
          <w:i w:val="0"/>
        </w:rPr>
        <w:t>При необходимости забора костной ткани – выполняется остеотомия в виде овала или прямоугольника с закругленными краями. Форма квадрата, прямоугольника, круг – должны быть исключены. При необходимости увеличения костного окна, в целях сохранения опороспособности кости, окно увеличивается в продольном направлении, ни в коем случае не в поперечном.</w:t>
      </w:r>
    </w:p>
    <w:p>
      <w:pPr>
        <w:spacing w:after="58"/>
      </w:pPr>
      <w:r>
        <w:rPr>
          <w:b w:val="0"/>
          <w:i w:val="0"/>
        </w:rPr>
        <w:t>Количество забранного материала должно быть достаточным для проведения всех видов гистологического исследования (при необходимости в операционную приглашается врач-патологоанатом для визуальной оценки материала), проведения цитогенетического исследования биопсийного (операционного) материала, для его консервации в био-банке, а также для архива и на случай необходимости пересмотра в референс-центрах .</w:t>
      </w:r>
    </w:p>
    <w:p>
      <w:pPr>
        <w:spacing w:after="58"/>
      </w:pPr>
      <w:r>
        <w:rPr>
          <w:b w:val="0"/>
          <w:i w:val="0"/>
        </w:rPr>
        <w:t>При дифференциальном диагнозе с остеомиелитом необходимо дополнительно часть материала отправлять на бактериологическое исследование.</w:t>
      </w:r>
    </w:p>
    <w:p>
      <w:pPr>
        <w:spacing w:after="58"/>
      </w:pPr>
      <w:r>
        <w:rPr>
          <w:b w:val="0"/>
          <w:i w:val="0"/>
        </w:rPr>
        <w:t>Как правило, биопсии проводят без наложения жгута, так как это может помешать проведению адекватного гемостаза. Если жгут все же используется, то его категорически нельзя накладывать на область, пораженную опухолью. Снимать его необходимо до ушивания раны, с целью проведения гемостаза</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4">
        <w:r>
          <w:rPr>
            <w:color w:val="173C49"/>
            <w:u w:val="single"/>
          </w:rPr>
          <w:t xml:space="preserve">(1)</w:t>
        </w:r>
      </w:hyperlink>
    </w:p>
    <w:p>
      <w:pPr>
        <w:pStyle w:val="Heading3"/>
        <w:keepNext/>
      </w:pPr>
      <w:r>
        <w:rPr>
          <w:b/>
          <w:color w:val="173C49"/>
        </w:rPr>
        <w:t>Вопрос 7.</w:t>
      </w:r>
    </w:p>
    <w:p>
      <w:pPr>
        <w:keepNext/>
      </w:pPr>
      <w:r>
        <w:rPr>
          <w:b w:val="0"/>
          <w:i w:val="0"/>
        </w:rPr>
        <w:t>Для формирования полного диагноза необходимо провести</w:t>
      </w:r>
    </w:p>
    <w:p>
      <w:pPr>
        <w:tabs>
          <w:tab w:pos="490" w:val="left"/>
        </w:tabs>
        <w:spacing w:after="60"/>
        <w:ind w:left="490" w:hanging="490"/>
      </w:pPr>
      <w:r>
        <w:rPr>
          <w:b/>
        </w:rPr>
        <w:t>1.</w:t>
      </w:r>
      <w:r>
        <w:tab/>
      </w:r>
      <w:r>
        <w:rPr>
          <w:b w:val="0"/>
          <w:i w:val="0"/>
        </w:rPr>
        <w:t>ПЦР ДНК циркулирующих опухолевых клеток опухоли в крови</w:t>
      </w:r>
    </w:p>
    <w:p>
      <w:pPr>
        <w:tabs>
          <w:tab w:pos="490" w:val="left"/>
        </w:tabs>
        <w:spacing w:after="60"/>
        <w:ind w:left="490" w:hanging="490"/>
      </w:pPr>
      <w:r>
        <w:rPr>
          <w:b/>
        </w:rPr>
        <w:t>2.</w:t>
      </w:r>
      <w:r>
        <w:tab/>
      </w:r>
      <w:r>
        <w:rPr>
          <w:b w:val="0"/>
          <w:i w:val="0"/>
        </w:rPr>
        <w:t>МРТ всего тела</w:t>
      </w:r>
    </w:p>
    <w:p>
      <w:pPr>
        <w:tabs>
          <w:tab w:pos="490" w:val="left"/>
        </w:tabs>
        <w:spacing w:after="60"/>
        <w:ind w:left="490" w:hanging="490"/>
      </w:pPr>
      <w:r>
        <w:rPr>
          <w:b/>
        </w:rPr>
        <w:t>3.</w:t>
      </w:r>
      <w:r>
        <w:tab/>
      </w:r>
      <w:r>
        <w:rPr>
          <w:b w:val="0"/>
          <w:i w:val="0"/>
        </w:rPr>
        <w:t>позитронно-эмиссионную томографию головного мозга с тирозином</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молекулярно-генетическое исследование опухоли</w:t>
      </w:r>
    </w:p>
    <w:p>
      <w:pPr>
        <w:ind w:left="288"/>
      </w:pPr>
      <w:r>
        <w:rPr>
          <w:b/>
          <w:color w:val="173C49"/>
        </w:rPr>
        <w:t>Правильный ответ:</w:t>
      </w:r>
      <w:r>
        <w:br/>
      </w:r>
      <w:r>
        <w:rPr>
          <w:b/>
          <w:i w:val="0"/>
        </w:rPr>
        <w:t>4 - молекулярно-генетическое исследование опухоли</w:t>
      </w:r>
    </w:p>
    <w:p>
      <w:pPr>
        <w:spacing w:after="58"/>
      </w:pPr>
      <w:r>
        <w:rPr>
          <w:b w:val="0"/>
          <w:i w:val="0"/>
        </w:rPr>
        <w:t>Всем пациентам с подозрением на саркому Юинга или другую недифференцированную мелкокруглоклеточную, высокодифференцированную центральную остесаркому, хондросаркому показано выполнение молекулярно-генетических исследований в зависимости от подозреваемого типа опухоли</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5">
        <w:r>
          <w:rPr>
            <w:color w:val="173C49"/>
            <w:u w:val="single"/>
          </w:rPr>
          <w:t xml:space="preserve">(1)</w:t>
        </w:r>
      </w:hyperlink>
    </w:p>
    <w:p>
      <w:pPr>
        <w:pStyle w:val="Heading2"/>
      </w:pPr>
      <w:r>
        <w:t>4. Диагноз</w:t>
      </w:r>
    </w:p>
    <w:p>
      <w:pPr>
        <w:pStyle w:val="Heading3"/>
        <w:keepNext/>
      </w:pPr>
      <w:r>
        <w:rPr>
          <w:b/>
          <w:color w:val="173C49"/>
        </w:rPr>
        <w:t>Вопрос 8.</w:t>
      </w:r>
    </w:p>
    <w:p>
      <w:pPr>
        <w:keepNext/>
      </w:pPr>
      <w:r>
        <w:rPr>
          <w:b w:val="0"/>
          <w:i w:val="0"/>
        </w:rPr>
        <w:t xml:space="preserve">Учитывая результаты исследования, окончательным диагнозом данного пациента является: Саркома Юинга левой подвздошной кости </w:t>
      </w:r>
      <w:r>
        <w:rPr>
          <w:b w:val="0"/>
          <w:i w:val="0"/>
        </w:rPr>
        <w:t>_____________</w:t>
      </w:r>
      <w:r>
        <w:rPr>
          <w:b w:val="0"/>
          <w:i w:val="0"/>
        </w:rPr>
        <w:t xml:space="preserve"> стадия по классификации AJCC 8-го пересмотра</w:t>
      </w:r>
    </w:p>
    <w:p>
      <w:pPr>
        <w:tabs>
          <w:tab w:pos="490" w:val="left"/>
        </w:tabs>
        <w:spacing w:after="60"/>
        <w:ind w:left="490" w:hanging="490"/>
      </w:pPr>
      <w:r>
        <w:rPr>
          <w:b/>
        </w:rPr>
        <w:t>1.</w:t>
      </w:r>
      <w:r>
        <w:tab/>
      </w:r>
      <w:r>
        <w:rPr>
          <w:b w:val="0"/>
          <w:i w:val="0"/>
        </w:rPr>
        <w:t>Т2N0M0, IIB</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Т3bN0M0, III</w:t>
      </w:r>
    </w:p>
    <w:p>
      <w:pPr>
        <w:tabs>
          <w:tab w:pos="490" w:val="left"/>
        </w:tabs>
        <w:spacing w:after="60"/>
        <w:ind w:left="490" w:hanging="490"/>
      </w:pPr>
      <w:r>
        <w:rPr>
          <w:b/>
        </w:rPr>
        <w:t>3.</w:t>
      </w:r>
      <w:r>
        <w:tab/>
      </w:r>
      <w:r>
        <w:rPr>
          <w:b w:val="0"/>
          <w:i w:val="0"/>
        </w:rPr>
        <w:t>Т2aN1M0, IVB</w:t>
      </w:r>
    </w:p>
    <w:p>
      <w:pPr>
        <w:tabs>
          <w:tab w:pos="490" w:val="left"/>
        </w:tabs>
        <w:spacing w:after="60"/>
        <w:ind w:left="490" w:hanging="490"/>
      </w:pPr>
      <w:r>
        <w:rPr>
          <w:b/>
        </w:rPr>
        <w:t>4.</w:t>
      </w:r>
      <w:r>
        <w:tab/>
      </w:r>
      <w:r>
        <w:rPr>
          <w:b w:val="0"/>
          <w:i w:val="0"/>
        </w:rPr>
        <w:t>Т1N0M0, IB</w:t>
      </w:r>
    </w:p>
    <w:p>
      <w:pPr>
        <w:ind w:left="288"/>
      </w:pPr>
      <w:r>
        <w:rPr>
          <w:b/>
          <w:color w:val="173C49"/>
        </w:rPr>
        <w:t>Правильный ответ:</w:t>
      </w:r>
      <w:r>
        <w:br/>
      </w:r>
      <w:r>
        <w:rPr>
          <w:b/>
          <w:i w:val="0"/>
        </w:rPr>
        <w:t>2 - Т3bN0M0, III</w:t>
      </w:r>
    </w:p>
    <w:p>
      <w:pPr>
        <w:spacing w:after="58"/>
      </w:pPr>
      <w:r>
        <w:rPr>
          <w:b w:val="0"/>
          <w:i w:val="0"/>
        </w:rPr>
        <w:t>Стадирование первичных злокачественных опухолей костей осуществляется в соответствии с классификацией AJCC 8-го пересмотра, основанной на гистологическом типе опухоли и степени ее дифференцировки (G), размера и локализации первичного очага (T), наличия или отсутствия поражения регионарных лимфатических узлов (N) или отдаленного метастазирования (M)</w:t>
      </w:r>
    </w:p>
    <w:p>
      <w:pPr>
        <w:spacing w:after="58"/>
      </w:pPr>
      <w:r>
        <w:rPr>
          <w:b w:val="0"/>
          <w:i w:val="0"/>
        </w:rPr>
        <w:t>T3: Образование вовлекает 2 сегмента таза с наличием ЭОК</w:t>
      </w:r>
    </w:p>
    <w:p>
      <w:pPr>
        <w:spacing w:after="58"/>
      </w:pPr>
      <w:r>
        <w:rPr>
          <w:b w:val="0"/>
          <w:i w:val="0"/>
        </w:rPr>
        <w:t>T3a: Опухоль ≤8 см в наибольшем измерении</w:t>
      </w:r>
    </w:p>
    <w:p>
      <w:pPr>
        <w:spacing w:after="58"/>
      </w:pPr>
      <w:r>
        <w:rPr>
          <w:b w:val="0"/>
          <w:i w:val="0"/>
        </w:rPr>
        <w:t>T3b: Опухоль ≥8 см в наибольшем измерении</w:t>
      </w:r>
    </w:p>
    <w:p>
      <w:pPr>
        <w:spacing w:after="58"/>
      </w:pPr>
      <w:r>
        <w:rPr>
          <w:b w:val="0"/>
          <w:i w:val="0"/>
        </w:rPr>
        <w:t>N0: Нет признаков метастатического поражения регионарных лимфатических узлов</w:t>
      </w:r>
    </w:p>
    <w:p>
      <w:pPr>
        <w:spacing w:after="58"/>
      </w:pPr>
      <w:r>
        <w:rPr>
          <w:b w:val="0"/>
          <w:i w:val="0"/>
        </w:rPr>
        <w:t>M0: Нет признаков отдаленного метастазирования</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6">
        <w:r>
          <w:rPr>
            <w:color w:val="173C49"/>
            <w:u w:val="single"/>
          </w:rPr>
          <w:t xml:space="preserve">(1)</w:t>
        </w:r>
      </w:hyperlink>
    </w:p>
    <w:p>
      <w:pPr>
        <w:pStyle w:val="Heading2"/>
      </w:pPr>
      <w:r>
        <w:t>5. Лечение</w:t>
      </w:r>
    </w:p>
    <w:p>
      <w:pPr>
        <w:pStyle w:val="Heading3"/>
        <w:keepNext/>
      </w:pPr>
      <w:r>
        <w:rPr>
          <w:b/>
          <w:color w:val="173C49"/>
        </w:rPr>
        <w:t>Вопрос 9.</w:t>
      </w:r>
    </w:p>
    <w:p>
      <w:pPr>
        <w:keepNext/>
      </w:pPr>
      <w:r>
        <w:rPr>
          <w:b w:val="0"/>
          <w:i w:val="0"/>
        </w:rPr>
        <w:t>Следующим после биопсии этапом ведения пациента является</w:t>
      </w:r>
    </w:p>
    <w:p>
      <w:pPr>
        <w:tabs>
          <w:tab w:pos="490" w:val="left"/>
        </w:tabs>
        <w:spacing w:after="60"/>
        <w:ind w:left="490" w:hanging="490"/>
      </w:pPr>
      <w:r>
        <w:rPr>
          <w:b/>
        </w:rPr>
        <w:t>1.</w:t>
      </w:r>
      <w:r>
        <w:tab/>
      </w:r>
      <w:r>
        <w:rPr>
          <w:b w:val="0"/>
          <w:i w:val="0"/>
        </w:rPr>
        <w:t>лучевая терапия в самостоятельном режиме</w:t>
      </w:r>
    </w:p>
    <w:p>
      <w:pPr>
        <w:tabs>
          <w:tab w:pos="490" w:val="left"/>
        </w:tabs>
        <w:spacing w:after="60"/>
        <w:ind w:left="490" w:hanging="490"/>
      </w:pPr>
      <w:r>
        <w:rPr>
          <w:b/>
        </w:rPr>
        <w:t>2.</w:t>
      </w:r>
      <w:r>
        <w:tab/>
      </w:r>
      <w:r>
        <w:rPr>
          <w:b w:val="0"/>
          <w:i w:val="0"/>
        </w:rPr>
        <w:t>хирургическое лечение</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7"/>
                    <a:stretch>
                      <a:fillRect/>
                    </a:stretch>
                  </pic:blipFill>
                  <pic:spPr>
                    <a:xfrm>
                      <a:off x="0" y="0"/>
                      <a:ext cx="214884" cy="214884"/>
                    </a:xfrm>
                    <a:prstGeom prst="rect"/>
                  </pic:spPr>
                </pic:pic>
              </a:graphicData>
            </a:graphic>
          </wp:inline>
        </w:drawing>
      </w:r>
      <w:r>
        <w:tab/>
      </w:r>
      <w:r>
        <w:rPr>
          <w:b w:val="0"/>
          <w:i w:val="0"/>
        </w:rPr>
        <w:t>предоперационная полихимиотерапия</w:t>
      </w:r>
    </w:p>
    <w:p>
      <w:pPr>
        <w:tabs>
          <w:tab w:pos="490" w:val="left"/>
        </w:tabs>
        <w:spacing w:after="60"/>
        <w:ind w:left="490" w:hanging="490"/>
      </w:pPr>
      <w:r>
        <w:rPr>
          <w:b/>
        </w:rPr>
        <w:t>4.</w:t>
      </w:r>
      <w:r>
        <w:tab/>
      </w:r>
      <w:r>
        <w:rPr>
          <w:b w:val="0"/>
          <w:i w:val="0"/>
        </w:rPr>
        <w:t>предоперационная лучевая терапия</w:t>
      </w:r>
    </w:p>
    <w:p>
      <w:pPr>
        <w:ind w:left="288"/>
      </w:pPr>
      <w:r>
        <w:rPr>
          <w:b/>
          <w:color w:val="173C49"/>
        </w:rPr>
        <w:t>Правильный ответ:</w:t>
      </w:r>
      <w:r>
        <w:br/>
      </w:r>
      <w:r>
        <w:rPr>
          <w:b/>
          <w:i w:val="0"/>
        </w:rPr>
        <w:t>3 - предоперационная полихимиотерапия</w:t>
      </w:r>
    </w:p>
    <w:p>
      <w:pPr>
        <w:spacing w:after="58"/>
      </w:pPr>
      <w:r>
        <w:rPr>
          <w:b w:val="0"/>
          <w:i w:val="0"/>
        </w:rPr>
        <w:t>Всем пациентам с cаркомой Юинга и другими недифференцированными мелкокруглоклеточными саркомами костей рекомендовано комбинированное лечение, которое включает в себя неоадъювантную (предоперационную) полихимиотерапию, оперативное вмешательство и адъювантную (послеоперационную) ПХТ, а также лучевую терапию.</w:t>
      </w:r>
    </w:p>
    <w:p>
      <w:pPr>
        <w:spacing w:after="58"/>
      </w:pPr>
      <w:r>
        <w:rPr>
          <w:b w:val="0"/>
          <w:i w:val="0"/>
        </w:rPr>
        <w:t>Комплексное лечение, включающее в себя многокомпонентную ХТ, оперативное вмешательство и лучевую терапию позволило увеличить показатель общей 5-летней выживаемости до 70%.</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2">
        <w:r>
          <w:rPr>
            <w:color w:val="173C49"/>
            <w:u w:val="single"/>
          </w:rPr>
          <w:t xml:space="preserve">(1)</w:t>
        </w:r>
      </w:hyperlink>
    </w:p>
    <w:p>
      <w:pPr>
        <w:pStyle w:val="Heading2"/>
      </w:pPr>
      <w:r>
        <w:t>6. Вариатив</w:t>
      </w:r>
    </w:p>
    <w:p>
      <w:pPr>
        <w:pStyle w:val="Heading3"/>
        <w:keepNext/>
      </w:pPr>
      <w:r>
        <w:rPr>
          <w:b/>
          <w:color w:val="173C49"/>
        </w:rPr>
        <w:t>Вопрос 10.</w:t>
      </w:r>
    </w:p>
    <w:p>
      <w:pPr>
        <w:keepNext/>
      </w:pPr>
      <w:r>
        <w:rPr>
          <w:b w:val="0"/>
          <w:i w:val="0"/>
        </w:rPr>
        <w:t>Наиболее активными в отношении саркомы Юинга являются препараты винкристин, доксорубицин, циклофосфамид, ифосфамид и</w:t>
      </w:r>
    </w:p>
    <w:p>
      <w:pPr>
        <w:tabs>
          <w:tab w:pos="490" w:val="left"/>
        </w:tabs>
        <w:spacing w:after="60"/>
        <w:ind w:left="490" w:hanging="490"/>
      </w:pPr>
      <w:r>
        <w:rPr>
          <w:b/>
        </w:rPr>
        <w:t>1.</w:t>
      </w:r>
      <w:r>
        <w:tab/>
      </w:r>
      <w:r>
        <w:rPr>
          <w:b w:val="0"/>
          <w:i w:val="0"/>
        </w:rPr>
        <w:t>оксалиплатин</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этопозид</w:t>
      </w:r>
    </w:p>
    <w:p>
      <w:pPr>
        <w:tabs>
          <w:tab w:pos="490" w:val="left"/>
        </w:tabs>
        <w:spacing w:after="60"/>
        <w:ind w:left="490" w:hanging="490"/>
      </w:pPr>
      <w:r>
        <w:rPr>
          <w:b/>
        </w:rPr>
        <w:t>3.</w:t>
      </w:r>
      <w:r>
        <w:tab/>
      </w:r>
      <w:r>
        <w:rPr>
          <w:b w:val="0"/>
          <w:i w:val="0"/>
        </w:rPr>
        <w:t>винорельбин</w:t>
      </w:r>
    </w:p>
    <w:p>
      <w:pPr>
        <w:tabs>
          <w:tab w:pos="490" w:val="left"/>
        </w:tabs>
        <w:spacing w:after="60"/>
        <w:ind w:left="490" w:hanging="490"/>
      </w:pPr>
      <w:r>
        <w:rPr>
          <w:b/>
        </w:rPr>
        <w:t>4.</w:t>
      </w:r>
      <w:r>
        <w:tab/>
      </w:r>
      <w:r>
        <w:rPr>
          <w:b w:val="0"/>
          <w:i w:val="0"/>
        </w:rPr>
        <w:t>темозоломид</w:t>
      </w:r>
    </w:p>
    <w:p>
      <w:pPr>
        <w:ind w:left="288"/>
      </w:pPr>
      <w:r>
        <w:rPr>
          <w:b/>
          <w:color w:val="173C49"/>
        </w:rPr>
        <w:t>Правильный ответ:</w:t>
      </w:r>
      <w:r>
        <w:br/>
      </w:r>
      <w:r>
        <w:rPr>
          <w:b/>
          <w:i w:val="0"/>
        </w:rPr>
        <w:t>2 - этопозид</w:t>
      </w:r>
    </w:p>
    <w:p>
      <w:pPr>
        <w:spacing w:after="58"/>
      </w:pPr>
      <w:r>
        <w:rPr>
          <w:b w:val="0"/>
          <w:i w:val="0"/>
        </w:rPr>
        <w:t>Комплексное лечение, включающее в себя многокомпонентную ХТ, оперативное вмешательство и лучевую терапию позволило увеличить показатель общей 5-летней выживаемости до 70%. Наиболее активными в отношении саркомы Юинга являются препараты винкристин, доксорубицин, циклофосфамид, ифосфамид, этопозид.</w:t>
      </w:r>
    </w:p>
    <w:p>
      <w:pPr>
        <w:spacing w:after="58"/>
      </w:pPr>
      <w:r>
        <w:rPr>
          <w:b w:val="0"/>
          <w:i w:val="0"/>
        </w:rPr>
        <w:t>Интенсивный режим ПХТ с интервалом в 14 дней (альтернирующие курсы VDC/IE) на сегодняшний день является предпочтительным, т.к. по результатам рандомизированных исследований позволил достичь у пациентов с локализованной формой СЮ показателя 5-летней БСВ 73% в сравнении со стандартным режимом в 21 день (65%).</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8">
        <w:r>
          <w:rPr>
            <w:color w:val="173C49"/>
            <w:u w:val="single"/>
          </w:rPr>
          <w:t xml:space="preserve">(1)</w:t>
        </w:r>
      </w:hyperlink>
    </w:p>
    <w:p>
      <w:pPr>
        <w:pStyle w:val="Heading3"/>
        <w:keepNext/>
      </w:pPr>
      <w:r>
        <w:rPr>
          <w:b/>
          <w:color w:val="173C49"/>
        </w:rPr>
        <w:t>Вопрос 11.</w:t>
      </w:r>
    </w:p>
    <w:p>
      <w:pPr>
        <w:keepNext/>
      </w:pPr>
      <w:r>
        <w:rPr>
          <w:b w:val="0"/>
          <w:i w:val="0"/>
        </w:rPr>
        <w:t>В первые два года диспансерного наблюдения данной пациентке показана компьютерная томография грудной клетки с частотой</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1 раз в 3 месяца</w:t>
      </w:r>
    </w:p>
    <w:p>
      <w:pPr>
        <w:tabs>
          <w:tab w:pos="490" w:val="left"/>
        </w:tabs>
        <w:spacing w:after="60"/>
        <w:ind w:left="490" w:hanging="490"/>
      </w:pPr>
      <w:r>
        <w:rPr>
          <w:b/>
        </w:rPr>
        <w:t>2.</w:t>
      </w:r>
      <w:r>
        <w:tab/>
      </w:r>
      <w:r>
        <w:rPr>
          <w:b w:val="0"/>
          <w:i w:val="0"/>
        </w:rPr>
        <w:t>каждые 3 недели</w:t>
      </w:r>
    </w:p>
    <w:p>
      <w:pPr>
        <w:tabs>
          <w:tab w:pos="490" w:val="left"/>
        </w:tabs>
        <w:spacing w:after="60"/>
        <w:ind w:left="490" w:hanging="490"/>
      </w:pPr>
      <w:r>
        <w:rPr>
          <w:b/>
        </w:rPr>
        <w:t>3.</w:t>
      </w:r>
      <w:r>
        <w:tab/>
      </w:r>
      <w:r>
        <w:rPr>
          <w:b w:val="0"/>
          <w:i w:val="0"/>
        </w:rPr>
        <w:t>1 раз в 1 месяц</w:t>
      </w:r>
    </w:p>
    <w:p>
      <w:pPr>
        <w:tabs>
          <w:tab w:pos="490" w:val="left"/>
        </w:tabs>
        <w:spacing w:after="60"/>
        <w:ind w:left="490" w:hanging="490"/>
      </w:pPr>
      <w:r>
        <w:rPr>
          <w:b/>
        </w:rPr>
        <w:t>4.</w:t>
      </w:r>
      <w:r>
        <w:tab/>
      </w:r>
      <w:r>
        <w:rPr>
          <w:b w:val="0"/>
          <w:i w:val="0"/>
        </w:rPr>
        <w:t>1 раз в год</w:t>
      </w:r>
    </w:p>
    <w:p>
      <w:pPr>
        <w:ind w:left="288"/>
      </w:pPr>
      <w:r>
        <w:rPr>
          <w:b/>
          <w:color w:val="173C49"/>
        </w:rPr>
        <w:t>Правильный ответ:</w:t>
      </w:r>
      <w:r>
        <w:br/>
      </w:r>
      <w:r>
        <w:rPr>
          <w:b/>
          <w:i w:val="0"/>
        </w:rPr>
        <w:t>1 - 1 раз в 3 месяца</w:t>
      </w:r>
    </w:p>
    <w:p>
      <w:pPr>
        <w:spacing w:after="58"/>
      </w:pPr>
      <w:r>
        <w:rPr>
          <w:b w:val="0"/>
          <w:i w:val="0"/>
        </w:rPr>
        <w:t>КТ органов грудной полости с внутривенным болюсным контрастированием 1 раз в 3 месяца в течение первых двух лет</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9">
        <w:r>
          <w:rPr>
            <w:color w:val="173C49"/>
            <w:u w:val="single"/>
          </w:rPr>
          <w:t xml:space="preserve">(1)</w:t>
        </w:r>
      </w:hyperlink>
    </w:p>
    <w:p>
      <w:pPr>
        <w:pStyle w:val="Heading3"/>
        <w:keepNext/>
      </w:pPr>
      <w:r>
        <w:rPr>
          <w:b/>
          <w:color w:val="173C49"/>
        </w:rPr>
        <w:t>Вопрос 12.</w:t>
      </w:r>
    </w:p>
    <w:p>
      <w:pPr>
        <w:keepNext/>
      </w:pPr>
      <w:r>
        <w:rPr>
          <w:b w:val="0"/>
          <w:i w:val="0"/>
        </w:rPr>
        <w:t xml:space="preserve">Заболеваемость саркомой Юинга составляет </w:t>
      </w:r>
      <w:r>
        <w:rPr>
          <w:b w:val="0"/>
          <w:i w:val="0"/>
        </w:rPr>
        <w:t>______</w:t>
      </w:r>
      <w:r>
        <w:rPr>
          <w:b w:val="0"/>
          <w:i w:val="0"/>
        </w:rPr>
        <w:t xml:space="preserve"> случая на 1 миллион детского населения</w:t>
      </w:r>
    </w:p>
    <w:p>
      <w:pPr>
        <w:tabs>
          <w:tab w:pos="490" w:val="left"/>
        </w:tabs>
        <w:spacing w:after="60"/>
        <w:ind w:left="490" w:hanging="490"/>
      </w:pPr>
      <w:r>
        <w:rPr>
          <w:b/>
        </w:rPr>
        <w:t>1.</w:t>
      </w:r>
      <w:r>
        <w:tab/>
      </w:r>
      <w:r>
        <w:rPr>
          <w:b w:val="0"/>
          <w:i w:val="0"/>
        </w:rPr>
        <w:t>5,7</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5"/>
                    <a:stretch>
                      <a:fillRect/>
                    </a:stretch>
                  </pic:blipFill>
                  <pic:spPr>
                    <a:xfrm>
                      <a:off x="0" y="0"/>
                      <a:ext cx="214884" cy="214884"/>
                    </a:xfrm>
                    <a:prstGeom prst="rect"/>
                  </pic:spPr>
                </pic:pic>
              </a:graphicData>
            </a:graphic>
          </wp:inline>
        </w:drawing>
      </w:r>
      <w:r>
        <w:tab/>
      </w:r>
      <w:r>
        <w:rPr>
          <w:b w:val="0"/>
          <w:i w:val="0"/>
        </w:rPr>
        <w:t>2,9</w:t>
      </w:r>
    </w:p>
    <w:p>
      <w:pPr>
        <w:tabs>
          <w:tab w:pos="490" w:val="left"/>
        </w:tabs>
        <w:spacing w:after="60"/>
        <w:ind w:left="490" w:hanging="490"/>
      </w:pPr>
      <w:r>
        <w:rPr>
          <w:b/>
        </w:rPr>
        <w:t>3.</w:t>
      </w:r>
      <w:r>
        <w:tab/>
      </w:r>
      <w:r>
        <w:rPr>
          <w:b w:val="0"/>
          <w:i w:val="0"/>
        </w:rPr>
        <w:t>9,2</w:t>
      </w:r>
    </w:p>
    <w:p>
      <w:pPr>
        <w:tabs>
          <w:tab w:pos="490" w:val="left"/>
        </w:tabs>
        <w:spacing w:after="60"/>
        <w:ind w:left="490" w:hanging="490"/>
      </w:pPr>
      <w:r>
        <w:rPr>
          <w:b/>
        </w:rPr>
        <w:t>4.</w:t>
      </w:r>
      <w:r>
        <w:tab/>
      </w:r>
      <w:r>
        <w:rPr>
          <w:b w:val="0"/>
          <w:i w:val="0"/>
        </w:rPr>
        <w:t>4,3</w:t>
      </w:r>
    </w:p>
    <w:p>
      <w:pPr>
        <w:ind w:left="288"/>
      </w:pPr>
      <w:r>
        <w:rPr>
          <w:b/>
          <w:color w:val="173C49"/>
        </w:rPr>
        <w:t>Правильный ответ:</w:t>
      </w:r>
      <w:r>
        <w:br/>
      </w:r>
      <w:r>
        <w:rPr>
          <w:b/>
          <w:i w:val="0"/>
        </w:rPr>
        <w:t>2 - 2,9</w:t>
      </w:r>
    </w:p>
    <w:p>
      <w:pPr>
        <w:spacing w:after="58"/>
      </w:pPr>
      <w:r>
        <w:rPr>
          <w:b w:val="0"/>
          <w:i w:val="0"/>
        </w:rPr>
        <w:t>Заболеваемость саркомой Юинга составляет 2,9 случая на 1 миллион детского населения</w:t>
      </w:r>
    </w:p>
    <w:p>
      <w:pPr>
        <w:spacing w:after="58"/>
      </w:pPr>
      <w:hyperlink r:id="rId21">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0">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Детская онкология-гематология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70_2/" TargetMode="External"/><Relationship Id="rId22" Type="http://schemas.openxmlformats.org/officeDocument/2006/relationships/hyperlink" Target="https://library.mededtech.ru/rest/documents/70_2/#list_item_nf57p9" TargetMode="External"/><Relationship Id="rId23" Type="http://schemas.openxmlformats.org/officeDocument/2006/relationships/hyperlink" Target="https://library.mededtech.ru/rest/documents/70_2/#list_item_l334q9" TargetMode="External"/><Relationship Id="rId24" Type="http://schemas.openxmlformats.org/officeDocument/2006/relationships/image" Target="media/image6.png"/><Relationship Id="rId25" Type="http://schemas.openxmlformats.org/officeDocument/2006/relationships/image" Target="media/image7.png"/><Relationship Id="rId26" Type="http://schemas.openxmlformats.org/officeDocument/2006/relationships/hyperlink" Target="https://library.mededtech.ru/rest/documents/70_2/#list_item_03vss8" TargetMode="External"/><Relationship Id="rId27" Type="http://schemas.openxmlformats.org/officeDocument/2006/relationships/hyperlink" Target="https://library.mededtech.ru/rest/documents/70_2/#list_item_cf805a" TargetMode="External"/><Relationship Id="rId28" Type="http://schemas.openxmlformats.org/officeDocument/2006/relationships/hyperlink" Target="https://library.mededtech.ru/rest/documents/70_2/#paragraph_1ae3u7" TargetMode="External"/><Relationship Id="rId29" Type="http://schemas.openxmlformats.org/officeDocument/2006/relationships/hyperlink" Target="https://library.mededtech.ru/rest/documents/70_2/#list_item_c0u1am" TargetMode="External"/><Relationship Id="rId30" Type="http://schemas.openxmlformats.org/officeDocument/2006/relationships/hyperlink" Target="https://library.mededtech.ru/rest/documents/70_2/#paragraph_1ji17r" TargetMode="External"/><Relationship Id="rId31" Type="http://schemas.openxmlformats.org/officeDocument/2006/relationships/hyperlink" Target="https://library.mededtech.ru/rest/documents/70_2/#paragraph_9tatl2" TargetMode="External"/><Relationship Id="rId32" Type="http://schemas.openxmlformats.org/officeDocument/2006/relationships/hyperlink" Target="https://library.mededtech.ru/rest/documents/70_2/#list_item_q84ak4" TargetMode="External"/><Relationship Id="rId33" Type="http://schemas.openxmlformats.org/officeDocument/2006/relationships/hyperlink" Target="https://library.mededtech.ru/rest/documents/70_2/#list_item_bfd6dk" TargetMode="External"/><Relationship Id="rId34" Type="http://schemas.openxmlformats.org/officeDocument/2006/relationships/hyperlink" Target="https://library.mededtech.ru/rest/documents/70_2/#paragraph_1e72qe" TargetMode="External"/><Relationship Id="rId35" Type="http://schemas.openxmlformats.org/officeDocument/2006/relationships/hyperlink" Target="https://library.mededtech.ru/rest/documents/70_2/#list_item_m3nc0k" TargetMode="External"/><Relationship Id="rId36" Type="http://schemas.openxmlformats.org/officeDocument/2006/relationships/hyperlink" Target="https://library.mededtech.ru/rest/documents/70_2/#paragraph_6t8n0l" TargetMode="External"/><Relationship Id="rId37" Type="http://schemas.openxmlformats.org/officeDocument/2006/relationships/image" Target="media/image8.png"/><Relationship Id="rId38" Type="http://schemas.openxmlformats.org/officeDocument/2006/relationships/hyperlink" Target="https://library.mededtech.ru/rest/documents/70_2/#paragraph_m5fujd" TargetMode="External"/><Relationship Id="rId39" Type="http://schemas.openxmlformats.org/officeDocument/2006/relationships/hyperlink" Target="https://library.mededtech.ru/rest/documents/70_2/#table9" TargetMode="External"/><Relationship Id="rId40" Type="http://schemas.openxmlformats.org/officeDocument/2006/relationships/hyperlink" Target="https://library.mededtech.ru/rest/documents/70_2/#paragraph_pvbe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